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878650168fa4e5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26161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KRAVARSKO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835.769,51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935.477,07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695.642,09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734.003,54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140.127,42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201.473,53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294.964,40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81.267,39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294.964,40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70.862,34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117.205,27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predmetnom izvještajnom razdoblju prihodi poslovanja ostvareni su u iznosu od 935.477,07 €  tj. za 11,9 % veći su u odnosu na isto izvještajno razdoblje prethodne godine. Najznačajnije povećanje prihoda poslovanja ostvareno je od poreza na dohodak od nesamostalnog rada, a najznačajnije smanjenje prihoda poslovanja bilježi se na tekućoj pomoći proračunu i izvanproračunskim korisnicima iz drugih proračuna.  Rashodi poslovanja od 01. siječnja do 30. lipnja 2026.g. ostvareni su u iznosu od 734.003,54 €. Najznačajnije povećanje rashoda evidentirano je na rashodima za subvencije trgovačkim društvima i zadrugama izvan javnog sektora koje se odnose na financiranje i sufinanciranje polaznika dječjeg vrtića, a zbog povećanja cijena i većeg broja polaznika.  U predmetnom razdoblju ostvareni su prihodi od prodaje nefinancijske imovine u iznosu od 10.405,05 € i odnose se na prodaju ošasne imovine, a rashodi za nabavu nefinancijske imovine ostvareni su u iznosu od 81.267,39 € ; od čega se najznačajniji  rashod odnosi na izradu izmjena i dopuna prostornog plana uređenja općine. Smanjenje kapitalnih rashoda u tekućoj godini, a obzirom na isto izvještajno razdoblje prethodne godine, nastalo je iz razloga dinamike javne nabave po kojoj se veliki investicijski projekti planiraju u drugoj polovici godine.  U navedenom razdoblju nije bilo ostvarenih primitaka, a izdaci za financijsku imovinu i otplate zajmova ostvareni su u iznosu od 13.405,92 € i odnose na otplatu glavnice za dugoročno zaduživanje iz 2021.g za projekt Energetske obnove javne rasvjete. U razdoblju od 01. siječnja do 30. lipnja 2026. g. ostvaren je višak prihoda poslovanja u iznosu od 201.473,53 €, manjak prihoda od nefinancijske imovine u iznosu od 70.862,34 € i manjak primitaka od financijske imovine i zaduživanja u iznosu od 13.405,92 €, slijedom čega je na kraju izvještajnog razdoblja ostvaren ukupni višak prihoda i primitaka u iznosu od 117.205,27 €. Navedeni ostvareni višak koristiti će se  za financiranje redovnog poslovanja u narednom razdoblju sukladno planiranom Proračunu.</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486.708,95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567.850,81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Povećanje prihoda od poreza na dohodak od nesamostalnog rada u odnosu na isto izvještajno razdoblje prethodne godine za 16,7 %  radi povećanja plaća stanovnika sa područja općine.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w:t>
            </w:r>
          </w:p>
        </w:tc>
      </w:tr>
    </w:tbl>
    <w:p>
      <w:pPr>
        <w:spacing w:before="0" w:after="0"/>
      </w:pPr>
    </w:p>
    <w:p>
      <w:r>
        <w:t xml:space="preserve">Smanjenje povremenih poreza na imovinu ( porez na promet nekretnina) obzirom na prethodnu godinu nastalo je radi  manjeg intenziteta prodaje nekretnina na našem području.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56.714,12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w:t>
            </w:r>
          </w:p>
        </w:tc>
      </w:tr>
    </w:tbl>
    <w:p>
      <w:pPr>
        <w:spacing w:before="0" w:after="0"/>
      </w:pPr>
    </w:p>
    <w:p>
      <w:r>
        <w:t xml:space="preserve">Odnose se na  doznačena sredstva od Ministarstva znanosti i obrazovanja za fiskalnu održivost dječjih vrtića. Ista su znatno manja nego u istom izvještajnom razdoblju prethodne godine radi</w:t>
      </w:r>
    </w:p>
    <w:p>
      <w:r>
        <w:t xml:space="preserve">Zakona o izmjenama i dopuni Zakona o predškolskom odgoju (NN 22/26), a po kojem je propisano da se sredstva za gore navedeno  doznačuju jedino jedinicama za dječje vrtiće kojima je osnivač JLPRS, te vrtićima kojima je osnivač vjerska zajednice ili druga fizička Ili pravna osoba; stoga Općina Kravarsko od ožujka više ne ostvaruje pravo na spomenutu pomoć.</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w:t>
            </w:r>
          </w:p>
        </w:tc>
      </w:tr>
    </w:tbl>
    <w:p>
      <w:pPr>
        <w:spacing w:before="0" w:after="0"/>
      </w:pPr>
    </w:p>
    <w:p>
      <w:r>
        <w:t xml:space="preserve">Ove kapitalne pomoći odnose se na dodijeljena sredstva od Zagrebačke županije za sufinanciranje projekta Izgradnje igrališta u Podvornici u iznosu od 24.000,00 €, te 100.000,00 € za redovno održavanje i rekonstrukciju nerazvrstanih cesta.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105.300,72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136.140,94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w:t>
            </w:r>
          </w:p>
        </w:tc>
      </w:tr>
    </w:tbl>
    <w:p>
      <w:pPr>
        <w:spacing w:before="0" w:after="0"/>
      </w:pPr>
    </w:p>
    <w:p>
      <w:r>
        <w:t xml:space="preserve">Tekuće pomoći temeljem prijenosa EU sredstava odnose se na doznačena sredstva za Projekt Zaželi, koji je sa 85 % financiran EU sredstvima, a 15 % iz državnog proračuna.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Ostali nespomenuti prihodi odnose se na prihode za posebne namjene tj. na naslijeđenu ošasnu imovinu.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w:t>
            </w:r>
          </w:p>
        </w:tc>
      </w:tr>
    </w:tbl>
    <w:p>
      <w:pPr>
        <w:spacing w:before="0" w:after="0"/>
      </w:pPr>
    </w:p>
    <w:p>
      <w:r>
        <w:t xml:space="preserve">Smanjenje prihoda od pružanih usluga nastalo je jer Općina više ne vrši usluga naplate naknade za uređenje voda, nego su to preuzele same Hrvatske vode.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300,3</w:t>
            </w:r>
          </w:p>
        </w:tc>
      </w:tr>
    </w:tbl>
    <w:p>
      <w:pPr>
        <w:spacing w:before="0" w:after="0"/>
      </w:pPr>
    </w:p>
    <w:p>
      <w:r>
        <w:t xml:space="preserve">Ostali prihodi odnose se na prihod ostvaren od povrata neutrošenih sredstava Udruga, a po javnom pozivu iz 2025.g u iznosu od 907,14 €, te na povrat neutrošenih sredstava DGU za katastarske izmjere u iznosu od 2.387,96 €.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192.855,27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205.468,50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r>
        <w:t xml:space="preserve">Rashodi za zaposlene ostvareni su više u odnosu na isto izvještajno razdoblje prethodne godinu. Razlog većeg ostvarenja je povećanje iznosa minimalne plaće, a koja se isplaćuje zaposlenicama na projektu Zaželi.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23.862,66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w:t>
            </w:r>
          </w:p>
        </w:tc>
      </w:tr>
    </w:tbl>
    <w:p>
      <w:pPr>
        <w:spacing w:before="0" w:after="0"/>
      </w:pPr>
    </w:p>
    <w:p>
      <w:r>
        <w:t xml:space="preserve">Ostvarenje znatno manje nego u istom izvještajnom razdoblju prethodne godine radi  održanih lokalnih izbora u 2025.g. i izvršenih rashoda za rad članova povjerenstva i  članova biračkih odbora.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150.410,00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w:t>
            </w:r>
          </w:p>
        </w:tc>
      </w:tr>
    </w:tbl>
    <w:p>
      <w:pPr>
        <w:spacing w:before="0" w:after="0"/>
      </w:pPr>
    </w:p>
    <w:p>
      <w:r>
        <w:t xml:space="preserve">Ostvarenja subvencija odnose se na financiranje i sufinanciranje polaznika dječjeg vrtića, koje je znatno veće od  istog izvještajnog razdoblja 2025.g. Razlog tome je povećanje cijene i veći broj polaznika.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tekuće pomoći odnose se na sufinanciranje i financiranje dječjeg vrtića Grada Velike Gorice, a koji pohađaju djeca sa područja naše Općine.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38.329,47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66.340,22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173,1</w:t>
            </w:r>
          </w:p>
        </w:tc>
      </w:tr>
    </w:tbl>
    <w:p>
      <w:pPr>
        <w:spacing w:before="0" w:after="0"/>
      </w:pPr>
    </w:p>
    <w:p>
      <w:r>
        <w:t xml:space="preserve">Rashodi za tekuće donacije u  novcu  odnose se na financiranje programa udruga sa područja Općine koje su znatno aktivnije nego u istom razdoblju prethodne godine, te na financiranje  DVD-a Kravarsko sukladno Zakonu o vatrogastvu.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od prodaje stambenog objekta odnosi se na prodaje naslijeđene ošasne imovine.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294.964,40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81.267,39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w:t>
            </w:r>
          </w:p>
        </w:tc>
      </w:tr>
    </w:tbl>
    <w:p>
      <w:pPr>
        <w:spacing w:before="0" w:after="0"/>
      </w:pPr>
    </w:p>
    <w:p>
      <w:r>
        <w:t xml:space="preserve">Rashodi  za nabavu nefinancijske imovine ostvareni su znatno manje nego u istom izvještajnom razdoblju prethodne godine jer se isti  planiraju intenzivirati u drugom dijelu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Otplata glavnice odnosi na dugoročno zaduživanje iz 2021.g za projekt Energetske obnove javne rasvjete, putem HBOR-a uz kamatnu stopu od 0,25%. Zaduženje je na 10 godina, uz poček od 6 mjeseci.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na dan 30.06.2026.g. iznose 362.802,00 € i sve su nedospjele tj. Općina Kravarsko nema dospjelih obveza na kraju izvještajnog razdoblja.</w:t>
      </w:r>
    </w:p>
    <w:p/>
    <w:p>
      <w:pPr>
        <w:jc w:val="center"/>
        <w:pStyle w:val="Normal"/>
        <w:spacing w:line="240" w:lineRule="auto"/>
        <w:keepNext/>
      </w:pPr>
      <w:r>
        <w:rPr>
          <w:sz w:val="28"/>
          <w:rFonts w:ascii="Times New Roman" w:hAnsi="Times New Roman"/>
        </w:rPr>
        <w:t xml:space="preserve">Bilješka 19.</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Općina Kravarsko nema proračunskih korisnika.</w:t>
      </w:r>
    </w:p>
    <w:p/>
    <w:p>
      <w:pPr>
        <w:jc w:val="center"/>
        <w:pStyle w:val="Normal"/>
        <w:spacing w:line="240" w:lineRule="auto"/>
        <w:keepNext/>
      </w:pPr>
      <w:r>
        <w:rPr>
          <w:sz w:val="28"/>
          <w:rFonts w:ascii="Times New Roman" w:hAnsi="Times New Roman"/>
        </w:rPr>
        <w:t xml:space="preserve">Bilješka 20.</w:t>
      </w:r>
    </w:p>
    <w:p>
      <w:pPr>
        <w:jc w:val="both"/>
        <w:pStyle w:val="Normal"/>
        <w:spacing w:line="240" w:lineRule="auto"/>
      </w:pPr>
      <w:r>
        <w:rPr>
          <w:b/>
          <w:sz w:val="24"/>
          <w:rFonts w:ascii="Times New Roman" w:hAnsi="Times New Roman"/>
        </w:rPr>
        <w:t xml:space="preserve">Unutargrupne transakcije koje su u izvještajima eliminirane</w:t>
      </w:r>
    </w:p>
    <w:p>
      <w:r>
        <w:t xml:space="preserve">Općina Kravarsko nema unutargrupne transakcije koje su u izvještajima eliminirane.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e20f2aad8554ad6" /></Relationships>
</file>